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ind w:firstLine="680"/>
        <w:spacing/>
        <w:jc w:val="center"/>
        <w:suppressAutoHyphens/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ind w:firstLine="680"/>
        <w:spacing/>
        <w:jc w:val="right"/>
        <w:suppressAutoHyphens/>
        <w:keepNext/>
        <w:keepLines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firstLine="680"/>
        <w:spacing/>
        <w:jc w:val="center"/>
        <w:suppressAutoHyphens/>
        <w:keepNext/>
        <w:keepLines/>
        <w:rPr>
          <w:sz w:val="28"/>
          <w:szCs w:val="28"/>
        </w:rPr>
      </w:pPr>
      <w:r>
        <w:rPr>
          <w:sz w:val="28"/>
          <w:szCs w:val="28"/>
        </w:rPr>
        <w:t>Отчет о результатах контрольной деятельности Управления финансов Администрации Любимского</w:t>
      </w:r>
      <w:r>
        <w:rPr>
          <w:sz w:val="28"/>
          <w:szCs w:val="28"/>
        </w:rPr>
        <w:t xml:space="preserve"> муниципального района за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год.</w:t>
      </w:r>
      <w:r>
        <w:rPr>
          <w:sz w:val="28"/>
          <w:szCs w:val="28"/>
        </w:rPr>
      </w:r>
    </w:p>
    <w:p>
      <w:pPr>
        <w:ind w:firstLine="680"/>
        <w:spacing/>
        <w:jc w:val="center"/>
        <w:suppressAutoHyphens/>
        <w:keepNext/>
        <w:keepLines/>
        <w:rPr>
          <w:sz w:val="28"/>
          <w:szCs w:val="28"/>
        </w:rPr>
      </w:pPr>
      <w:r>
        <w:rPr>
          <w:sz w:val="28"/>
          <w:szCs w:val="28"/>
        </w:rPr>
      </w:r>
    </w:p>
    <w:tbl>
      <w:tblPr>
        <w:jc w:val="left"/>
        <w:tblInd w:w="-108" w:type="dxa"/>
        <w:tblW w:w="15420" w:type="dxa"/>
      </w:tblPr>
      <w:tblGrid>
        <w:gridCol w:w="1808"/>
        <w:gridCol w:w="1700"/>
        <w:gridCol w:w="1702"/>
        <w:gridCol w:w="2811"/>
        <w:gridCol w:w="19"/>
        <w:gridCol w:w="1140"/>
        <w:gridCol w:w="993"/>
        <w:gridCol w:w="992"/>
        <w:gridCol w:w="1417"/>
        <w:gridCol w:w="1701"/>
        <w:gridCol w:w="1137"/>
      </w:tblGrid>
      <w:tr>
        <w:trPr>
          <w:trHeight w:val="0" w:hRule="auto"/>
        </w:trPr>
        <w:tc>
          <w:tcPr>
            <w:tcW w:w="180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Наименование проверяемого объекта, проверяемый период</w:t>
            </w:r>
          </w:p>
        </w:tc>
        <w:tc>
          <w:tcPr>
            <w:tcW w:w="170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Информация о контрольном мероприятии (плановое/внеплановое)</w:t>
            </w:r>
          </w:p>
        </w:tc>
        <w:tc>
          <w:tcPr>
            <w:tcW w:w="170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Объем проверенных средств, тыс. руб.</w:t>
            </w:r>
          </w:p>
        </w:tc>
        <w:tc>
          <w:tcPr>
            <w:tcW w:w="281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Вид нарушения, нормативный документ, который нарушен</w:t>
            </w:r>
          </w:p>
        </w:tc>
        <w:tc>
          <w:tcPr>
            <w:tcW w:w="21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Количество  предписаний (представлений)</w:t>
            </w:r>
          </w:p>
        </w:tc>
        <w:tc>
          <w:tcPr>
            <w:tcW w:w="240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Количество уведомлений о применении бюджетных мер</w:t>
            </w:r>
          </w:p>
        </w:tc>
        <w:tc>
          <w:tcPr>
            <w:tcW w:w="170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Количество и сумма составленных протоколов об административных правонарушениях</w:t>
            </w:r>
          </w:p>
        </w:tc>
        <w:tc>
          <w:tcPr>
            <w:tcW w:w="113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  <w:tabs>
                <w:tab w:val="left" w:pos="682" w:leader="none"/>
              </w:tabs>
            </w:pPr>
            <w:r>
              <w:t>Дата направления материалов в правоохранительные органы</w:t>
            </w:r>
          </w:p>
        </w:tc>
      </w:tr>
      <w:tr>
        <w:trPr>
          <w:trHeight w:val="926" w:hRule="atLeast"/>
        </w:trPr>
        <w:tc>
          <w:tcPr>
            <w:tcW w:w="180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0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0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1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59" w:type="dxa"/>
            <w:gridSpan w:val="2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выдано</w:t>
            </w:r>
          </w:p>
        </w:tc>
        <w:tc>
          <w:tcPr>
            <w:tcW w:w="9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исполнено</w:t>
            </w:r>
          </w:p>
        </w:tc>
        <w:tc>
          <w:tcPr>
            <w:tcW w:w="2409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0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382" w:hRule="atLeast"/>
        </w:trPr>
        <w:tc>
          <w:tcPr>
            <w:tcW w:w="1808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00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702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281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59" w:type="dxa"/>
            <w:gridSpan w:val="2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93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направлено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исполнено</w:t>
            </w:r>
          </w:p>
        </w:tc>
        <w:tc>
          <w:tcPr>
            <w:tcW w:w="1701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  <w:tc>
          <w:tcPr>
            <w:tcW w:w="1137" w:type="dxa"/>
            <w:vMerge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/>
        </w:tc>
      </w:tr>
      <w:tr>
        <w:trPr>
          <w:trHeight w:val="597" w:hRule="atLeast"/>
        </w:trPr>
        <w:tc>
          <w:tcPr>
            <w:tcW w:w="15420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Проверка соблюдения требований законодательства РФ о контрактной системе в сфере закупок товаров, работ, услуг для муниципальных нужд</w:t>
            </w:r>
          </w:p>
        </w:tc>
      </w:tr>
      <w:tr>
        <w:trPr>
          <w:trHeight w:val="382" w:hRule="atLeast"/>
        </w:trPr>
        <w:tc>
          <w:tcPr>
            <w:tcW w:w="18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плановая</w:t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9257,71</w:t>
            </w:r>
          </w:p>
        </w:tc>
        <w:tc>
          <w:tcPr>
            <w:tcW w:w="28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numPr>
                <w:ilvl w:val="0"/>
                <w:numId w:val="1"/>
              </w:numPr>
              <w:ind w:left="720" w:hanging="360"/>
            </w:pPr>
            <w:r>
              <w:t>Невыполнение объема закупок у субъектов малого предпринимательства (.1 ст.30 Закона 44-ФЗ-);</w:t>
            </w:r>
          </w:p>
          <w:p>
            <w:pPr>
              <w:pStyle w:val=""/>
              <w:numPr>
                <w:ilvl w:val="0"/>
                <w:numId w:val="1"/>
              </w:numPr>
              <w:ind w:left="720" w:hanging="360"/>
            </w:pPr>
            <w:r>
              <w:t>У контрактного управляющего отсутствует доп. проф. образование в сфере закупок ( ч. 6 ст. 38 закона 44-ФЗ);</w:t>
            </w:r>
          </w:p>
          <w:p>
            <w:pPr>
              <w:pStyle w:val=""/>
              <w:numPr>
                <w:ilvl w:val="0"/>
                <w:numId w:val="1"/>
              </w:numPr>
              <w:ind w:left="720" w:hanging="360"/>
            </w:pPr>
            <w:r>
              <w:t>Не создана приемочная комиссия по приемке товара ( ч. 6 ст.ю 94 ФЗ 44-ФЗ);</w:t>
            </w:r>
          </w:p>
          <w:p>
            <w:pPr>
              <w:pStyle w:val=""/>
              <w:numPr>
                <w:ilvl w:val="0"/>
                <w:numId w:val="1"/>
              </w:numPr>
              <w:ind w:left="720" w:hanging="360"/>
            </w:pPr>
            <w:r>
              <w:t>Несвоевременно опубликованы сведения о контрактах ( ч. 3 ст. 102 Закона 44-ФЗ);</w:t>
            </w:r>
          </w:p>
          <w:p>
            <w:pPr>
              <w:pStyle w:val=""/>
              <w:numPr>
                <w:ilvl w:val="0"/>
                <w:numId w:val="1"/>
              </w:numPr>
              <w:ind w:left="720" w:hanging="360"/>
            </w:pPr>
            <w:r>
              <w:t>План –график составлен без учета Порядка Особенностей( приказ Минэкономразвития России и Федерального казначейства России от 31.03.2015 г. № 182/7н, ч. 2 ст. 112 Закона 44-ФЗ);</w:t>
            </w:r>
          </w:p>
          <w:p>
            <w:pPr>
              <w:pStyle w:val=""/>
              <w:numPr>
                <w:ilvl w:val="0"/>
                <w:numId w:val="1"/>
              </w:numPr>
              <w:ind w:left="720" w:hanging="360"/>
            </w:pPr>
            <w:r>
              <w:t>Не опубликованы отчеты по исполнению контрактов ( ПП от 28.12.2013 г. № 1093).</w:t>
            </w:r>
          </w:p>
        </w:tc>
        <w:tc>
          <w:tcPr>
            <w:tcW w:w="11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</w:tr>
      <w:tr>
        <w:trPr>
          <w:trHeight w:val="382" w:hRule="atLeast"/>
        </w:trPr>
        <w:tc>
          <w:tcPr>
            <w:tcW w:w="18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плановая</w:t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2663,59</w:t>
            </w:r>
          </w:p>
        </w:tc>
        <w:tc>
          <w:tcPr>
            <w:tcW w:w="28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numPr>
                <w:ilvl w:val="0"/>
                <w:numId w:val="3"/>
              </w:numPr>
              <w:ind w:left="720" w:hanging="360"/>
            </w:pPr>
            <w:r>
              <w:t>С нарушением срока опубликованы сведения о заключенных договорах в 2016 г., в 2015 г. сведения не направлялись ( ч. 3 ст. 102 Закона 44-ФЗ);</w:t>
            </w:r>
          </w:p>
          <w:p>
            <w:pPr>
              <w:pStyle w:val=""/>
              <w:numPr>
                <w:ilvl w:val="0"/>
                <w:numId w:val="3"/>
              </w:numPr>
              <w:ind w:left="720" w:hanging="360"/>
            </w:pPr>
            <w:r>
              <w:t>Не опубликованы отчеты по исполнению контрактов ( ПП № 1093 от 28.12.2013 г);</w:t>
            </w:r>
          </w:p>
          <w:p>
            <w:pPr>
              <w:pStyle w:val=""/>
              <w:numPr>
                <w:ilvl w:val="0"/>
                <w:numId w:val="3"/>
              </w:numPr>
              <w:ind w:left="720" w:hanging="360"/>
            </w:pPr>
            <w:r>
              <w:t>Не установлен в контракте размер штрафа ( ч. 4 ст. 34 Закона 44-ФЗ, ПП от 25.11.2013 г. № 1063);</w:t>
            </w:r>
          </w:p>
          <w:p>
            <w:pPr>
              <w:pStyle w:val=""/>
              <w:numPr>
                <w:ilvl w:val="0"/>
                <w:numId w:val="3"/>
              </w:numPr>
              <w:ind w:left="720" w:hanging="360"/>
            </w:pPr>
            <w:r>
              <w:t>План-график составлен  без  учета Порядка Особенностей ( ПП Минэкономразвития и ФК от 31.03.2015 г. № 182/7н, ч. 2 ст. 112  Закона 44-ФЗ);</w:t>
            </w:r>
          </w:p>
          <w:p>
            <w:pPr>
              <w:pStyle w:val=""/>
              <w:numPr>
                <w:ilvl w:val="0"/>
                <w:numId w:val="3"/>
              </w:numPr>
              <w:ind w:left="720" w:hanging="360"/>
            </w:pPr>
            <w:r>
              <w:t>Неверно выбран способ закупки у ед. поставщика – (нарушение ч 1,2 ст. 7.29 КоАП)</w:t>
            </w:r>
          </w:p>
        </w:tc>
        <w:tc>
          <w:tcPr>
            <w:tcW w:w="11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</w:t>
            </w:r>
          </w:p>
        </w:tc>
      </w:tr>
      <w:tr>
        <w:trPr>
          <w:trHeight w:val="382" w:hRule="atLeast"/>
        </w:trPr>
        <w:tc>
          <w:tcPr>
            <w:tcW w:w="18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плановая</w:t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72,58</w:t>
            </w:r>
          </w:p>
        </w:tc>
        <w:tc>
          <w:tcPr>
            <w:tcW w:w="28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numPr>
                <w:ilvl w:val="0"/>
                <w:numId w:val="5"/>
              </w:numPr>
              <w:ind w:left="720" w:hanging="360"/>
            </w:pPr>
            <w:r>
              <w:t>Не опубликован план-график на официальном сайте за 2015,2016 г.( ч. 2 ст. 112 Закона 44-ФЗ);</w:t>
            </w:r>
          </w:p>
          <w:p>
            <w:pPr>
              <w:pStyle w:val=""/>
              <w:numPr>
                <w:ilvl w:val="0"/>
                <w:numId w:val="5"/>
              </w:numPr>
              <w:ind w:left="720" w:hanging="360"/>
            </w:pPr>
            <w:r>
              <w:t>У контрактного управляющего отсутствует доп.проф.образование в сфере закупок ( ч.6 ст. 38 Закона 44-ФЗ);</w:t>
            </w:r>
          </w:p>
          <w:p>
            <w:pPr>
              <w:pStyle w:val=""/>
              <w:numPr>
                <w:ilvl w:val="0"/>
                <w:numId w:val="5"/>
              </w:numPr>
              <w:ind w:left="720" w:hanging="360"/>
            </w:pPr>
            <w:r>
              <w:t>Не опубликован отчет у субъетов малого предпринимательства  ( ПП от 17.03.2015 г. № 238)</w:t>
            </w:r>
          </w:p>
        </w:tc>
        <w:tc>
          <w:tcPr>
            <w:tcW w:w="11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9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/>
          </w:p>
          <w:p>
            <w:pPr>
              <w:spacing/>
              <w:jc w:val="center"/>
            </w:pPr>
            <w:r>
              <w:t>1</w:t>
            </w:r>
          </w:p>
        </w:tc>
      </w:tr>
      <w:tr>
        <w:trPr>
          <w:trHeight w:val="382" w:hRule="atLeast"/>
        </w:trPr>
        <w:tc>
          <w:tcPr>
            <w:tcW w:w="18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плановая</w:t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14414,0</w:t>
            </w:r>
          </w:p>
        </w:tc>
        <w:tc>
          <w:tcPr>
            <w:tcW w:w="28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1.   Рекомендовано   усилить контроль за соблюдением требований заполнения плана-графика, а так же условий контрактов, заключенных учреждением.</w:t>
            </w:r>
          </w:p>
        </w:tc>
        <w:tc>
          <w:tcPr>
            <w:tcW w:w="11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  <w:p>
            <w:pPr>
              <w:spacing/>
              <w:jc w:val="center"/>
            </w:pPr>
            <w:r/>
          </w:p>
        </w:tc>
        <w:tc>
          <w:tcPr>
            <w:tcW w:w="11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</w:tr>
      <w:tr>
        <w:trPr>
          <w:trHeight w:val="382" w:hRule="atLeast"/>
        </w:trPr>
        <w:tc>
          <w:tcPr>
            <w:tcW w:w="15420" w:type="dxa"/>
            <w:gridSpan w:val="11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r>
              <w:t>Проверка целевого использования средств, выделенных на реализацию целевых программ</w:t>
            </w:r>
          </w:p>
        </w:tc>
      </w:tr>
      <w:tr>
        <w:trPr>
          <w:trHeight w:val="382" w:hRule="atLeast"/>
        </w:trPr>
        <w:tc>
          <w:tcPr>
            <w:tcW w:w="18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плановая</w:t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2322,76</w:t>
            </w:r>
          </w:p>
        </w:tc>
        <w:tc>
          <w:tcPr>
            <w:tcW w:w="28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numPr>
                <w:ilvl w:val="0"/>
                <w:numId w:val="2"/>
              </w:numPr>
              <w:ind w:left="720" w:hanging="360"/>
            </w:pPr>
            <w:r>
              <w:t>Своевременно не вносятся изменения в муниципальную программу;</w:t>
            </w:r>
          </w:p>
          <w:p>
            <w:pPr>
              <w:pStyle w:val=""/>
              <w:numPr>
                <w:ilvl w:val="0"/>
                <w:numId w:val="2"/>
              </w:numPr>
              <w:ind w:left="720" w:hanging="360"/>
            </w:pPr>
            <w:r>
              <w:t>Не проведена объективная оценка  выполнения отчета о реализации за 12  месяцев( не все учтены израсходованные средства);</w:t>
            </w:r>
          </w:p>
          <w:p>
            <w:pPr>
              <w:pStyle w:val=""/>
              <w:numPr>
                <w:ilvl w:val="0"/>
                <w:numId w:val="2"/>
              </w:numPr>
              <w:ind w:left="720" w:hanging="360"/>
            </w:pPr>
            <w:r>
              <w:t>Не выполнены запланированные мероприятия по программе;</w:t>
            </w:r>
          </w:p>
          <w:p>
            <w:pPr>
              <w:pStyle w:val=""/>
              <w:numPr>
                <w:ilvl w:val="0"/>
                <w:numId w:val="2"/>
              </w:numPr>
              <w:ind w:left="720" w:hanging="360"/>
            </w:pPr>
            <w:r>
              <w:t xml:space="preserve">Не представлен отчет по оценке эффективности программы. </w:t>
            </w:r>
          </w:p>
        </w:tc>
        <w:tc>
          <w:tcPr>
            <w:tcW w:w="11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</w:tr>
      <w:tr>
        <w:trPr>
          <w:trHeight w:val="382" w:hRule="atLeast"/>
        </w:trPr>
        <w:tc>
          <w:tcPr>
            <w:tcW w:w="1808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Х</w:t>
            </w:r>
          </w:p>
        </w:tc>
        <w:tc>
          <w:tcPr>
            <w:tcW w:w="17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плановая</w:t>
            </w:r>
          </w:p>
        </w:tc>
        <w:tc>
          <w:tcPr>
            <w:tcW w:w="1702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454,10</w:t>
            </w:r>
          </w:p>
        </w:tc>
        <w:tc>
          <w:tcPr>
            <w:tcW w:w="2830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"/>
              <w:numPr>
                <w:ilvl w:val="0"/>
                <w:numId w:val="4"/>
              </w:numPr>
              <w:ind w:left="720" w:hanging="360"/>
            </w:pPr>
            <w:r>
              <w:t>Не внесены своевременно изменения в программу;</w:t>
            </w:r>
          </w:p>
          <w:p>
            <w:pPr>
              <w:pStyle w:val=""/>
              <w:numPr>
                <w:ilvl w:val="0"/>
                <w:numId w:val="4"/>
              </w:numPr>
              <w:ind w:left="720" w:hanging="360"/>
            </w:pPr>
            <w:r>
              <w:t>Не исполнен муниципальный контракт по спиливанию  аварийных деревьев( не взыскана неустойка);</w:t>
            </w:r>
          </w:p>
          <w:p>
            <w:pPr>
              <w:pStyle w:val=""/>
              <w:numPr>
                <w:ilvl w:val="0"/>
                <w:numId w:val="4"/>
              </w:numPr>
              <w:ind w:left="720" w:hanging="360"/>
            </w:pPr>
            <w:r>
              <w:t>Не выполнено запланированное мероприятие по программе;</w:t>
            </w:r>
          </w:p>
          <w:p>
            <w:pPr>
              <w:pStyle w:val=""/>
              <w:numPr>
                <w:ilvl w:val="0"/>
                <w:numId w:val="4"/>
              </w:numPr>
              <w:ind w:left="720" w:hanging="360"/>
            </w:pPr>
            <w:r>
              <w:t>Отчет о реализации программы за 12 месяцев  выполнен с неточными данными;</w:t>
            </w:r>
          </w:p>
          <w:p>
            <w:pPr>
              <w:pStyle w:val=""/>
              <w:numPr>
                <w:ilvl w:val="0"/>
                <w:numId w:val="4"/>
              </w:numPr>
              <w:ind w:left="720" w:hanging="360"/>
            </w:pPr>
            <w:r>
              <w:t>Расчет эффективности программы произведен  с не полными экономическими показателями.</w:t>
            </w:r>
          </w:p>
        </w:tc>
        <w:tc>
          <w:tcPr>
            <w:tcW w:w="114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</w:tc>
        <w:tc>
          <w:tcPr>
            <w:tcW w:w="1417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/>
          </w:p>
          <w:p>
            <w:pPr>
              <w:spacing w:line="276" w:lineRule="auto"/>
              <w:jc w:val="center"/>
              <w:suppressAutoHyphens/>
              <w:keepNext/>
              <w:keepLines/>
            </w:pPr>
            <w:r>
              <w:t>-</w:t>
            </w:r>
          </w:p>
        </w:tc>
        <w:tc>
          <w:tcPr>
            <w:tcW w:w="170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-</w:t>
            </w:r>
          </w:p>
        </w:tc>
        <w:tc>
          <w:tcPr>
            <w:tcW w:w="1137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spacing/>
              <w:jc w:val="center"/>
            </w:pPr>
            <w:r>
              <w:t>1</w:t>
            </w: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финансов                                             Е.А.Карпова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1906" w:w="16838" w:orient="landscape"/>
      <w:pgMar w:left="1134" w:top="1701" w:right="1134" w:bottom="85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B0604020202020204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mbria">
    <w:panose1 w:val="02040503050406030204"/>
    <w:charset w:val="cc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2">
    <w:multiLevelType w:val="multilevel"/>
    <w:name w:val="Нумерованный список 2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3">
    <w:multiLevelType w:val="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multilevel"/>
    <w:name w:val="Нумерованный список 5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6">
    <w:multiLevelType w:val="singleLevel"/>
    <w:name w:val="Bullet 6"/>
    <w:lvl w:ilvl="0">
      <w:start w:val="1"/>
      <w:numFmt w:val="decimal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7">
    <w:multiLevelType w:val="singleLevel"/>
    <w:name w:val="Bullet 7"/>
    <w:lvl w:ilvl="0">
      <w:start w:val="1"/>
      <w:numFmt w:val="lowerLetter"/>
      <w:lvlText w:val="%1"/>
      <w:lvlJc w:val="left"/>
      <w:pPr>
        <w:tabs>
          <w:tab w:val="num" w:pos="0"/>
        </w:tabs>
        <w:ind w:left="0" w:hanging="0"/>
      </w:pPr>
      <w:rPr/>
    </w:lvl>
  </w:abstractNum>
  <w:abstractNum w:abstractNumId="8">
    <w:multiLevelType w:val="singleLevel"/>
    <w:name w:val="Bullet 8"/>
    <w:lvl w:ilvl="0">
      <w:start w:val="1"/>
      <w:numFmt w:val="lowerRoman"/>
      <w:lvlText w:val="%1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18546688"/>
  <w:drawingGridVerticalSpacing w:val="18546688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usePrinterMetrics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5065963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4"/>
    <w:tmLastPosSelect w:val="0"/>
    <w:tmLastPosFrameIdx w:val="65"/>
    <w:tmLastPosCaret>
      <w:tmLastPosPgfIdx w:val="0"/>
      <w:tmLastPosIdx w:val="1"/>
    </w:tmLastPosCaret>
    <w:tmLastPosAnchor>
      <w:tmLastPosPgfIdx w:val="0"/>
      <w:tmLastPosIdx w:val="0"/>
    </w:tmLastPosAnchor>
    <w:tmLastPosTblRect w:left="0" w:top="0" w:right="0" w:bottom="0"/>
    <w:tmAppRevision w:date="1500634840" w:val="675"/>
  </w:tmLastPo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List Paragraph"/>
    <w:qFormat/>
    <w:basedOn w:val=""/>
    <w:pPr>
      <w:ind w:left="720"/>
      <w:contextualSpacing/>
    </w:pPr>
  </w:style>
  <w:style w:type="character" w:styleId="" w:default="1">
    <w:name w:val="Default Paragraph Font"/>
    <w:rPr>
      <w:rFonts w:ascii="Calibri" w:hAnsi="Calibri"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rev.675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Дмитриева</dc:creator>
  <cp:keywords/>
  <dc:description/>
  <cp:lastModifiedBy/>
  <cp:revision>4</cp:revision>
  <cp:lastPrinted>2017-07-19T12:55:00Z</cp:lastPrinted>
  <dcterms:created xsi:type="dcterms:W3CDTF">2017-07-19T12:53:00Z</dcterms:created>
  <dcterms:modified xsi:type="dcterms:W3CDTF">2017-07-21T14:00:40Z</dcterms:modified>
</cp:coreProperties>
</file>