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102" w:lineRule="exact"/>
        <w:rPr>
          <w:sz w:val="8"/>
          <w:szCs w:val="8"/>
        </w:rPr>
      </w:pPr>
    </w:p>
    <w:p>
      <w:pPr>
        <w:widowControl w:val="0"/>
        <w:rPr>
          <w:sz w:val="2"/>
          <w:szCs w:val="2"/>
        </w:rPr>
        <w:sectPr>
          <w:headerReference w:type="default" r:id="rId5"/>
          <w:headerReference w:type="first" r:id="rId6"/>
          <w:titlePg/>
          <w:footnotePr>
            <w:pos w:val="pageBottom"/>
            <w:numFmt w:val="decimal"/>
            <w:numRestart w:val="continuous"/>
          </w:footnotePr>
          <w:pgSz w:w="11900" w:h="16840"/>
          <w:pgMar w:top="1560" w:left="0" w:right="0" w:bottom="1685" w:header="0" w:footer="3" w:gutter="0"/>
          <w:rtlGutter w:val="0"/>
          <w:cols w:space="720"/>
          <w:noEndnote/>
          <w:docGrid w:linePitch="360"/>
        </w:sectPr>
      </w:pPr>
    </w:p>
    <w:p>
      <w:pPr>
        <w:pStyle w:val="Style7"/>
        <w:widowControl w:val="0"/>
        <w:keepNext w:val="0"/>
        <w:keepLines w:val="0"/>
        <w:shd w:val="clear" w:color="auto" w:fill="auto"/>
        <w:bidi w:val="0"/>
        <w:spacing w:before="0" w:after="0"/>
        <w:ind w:left="0" w:right="0" w:firstLine="740"/>
      </w:pPr>
      <w:r>
        <w:rPr>
          <w:rStyle w:val="CharStyle9"/>
        </w:rPr>
        <w:t xml:space="preserve">Геморрагическая лихорадка с почечным синдромом (ГЛПС) </w:t>
      </w:r>
      <w:r>
        <w:rPr>
          <w:lang w:val="ru-RU" w:eastAsia="ru-RU" w:bidi="ru-RU"/>
          <w:sz w:val="24"/>
          <w:szCs w:val="24"/>
          <w:w w:val="100"/>
          <w:spacing w:val="0"/>
          <w:color w:val="000000"/>
          <w:position w:val="0"/>
        </w:rPr>
        <w:t>- острое вирусное природно-очаговое инфекционное заболевание, характеризующееся поражением сосудистой системы (геморрагический синдром) и развитием острой почечной недостаточности.</w:t>
      </w:r>
    </w:p>
    <w:p>
      <w:pPr>
        <w:pStyle w:val="Style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Впервые клинические признаки ГЛПС у людей были описаны в 30-е годы XX века во время вспышек на Дальнем Востоке; вирус, вызывающий болезнь (хантавирус), выделен учеными в 1976 году.</w:t>
      </w:r>
    </w:p>
    <w:p>
      <w:pPr>
        <w:pStyle w:val="Style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 настоящее время случаи заболевания регистрируются в странах Европы, Северной и Южной Америки, Китае.</w:t>
      </w:r>
    </w:p>
    <w:p>
      <w:pPr>
        <w:pStyle w:val="Style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 Российской Федерации заболевания людей ГЛПС регистрируются в 58 субъектах. ГЛПС занимает ведущее место среди всех природно-очаговых инфекций. Более 95% случаев ГЛПС зарегистрировано в европейской части страны.</w:t>
      </w:r>
    </w:p>
    <w:p>
      <w:pPr>
        <w:pStyle w:val="Style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 Ярославской области случаи ГЛПС регистрируются ежегодно. В 2021 году наибольшее число заболевших ГЛПС в ЦФО зарегистрировано в Костромской, Тульской, Рязанской, Московской Ярославкой областях.</w:t>
      </w:r>
    </w:p>
    <w:p>
      <w:pPr>
        <w:pStyle w:val="Style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Природные очаги ГЛПС чаще всего расположены в увлажненных лесах, в лесных оврагах, лесных поймах рек, где обитают инфицированные грызуны. Развитию природных очагов ГЛПС чаще всего способствует наличие буреломов, неухоженных участков лесных оврагов, пойм рек, где создаются благоприятные условия для обитания инфицированных грызунов.</w:t>
      </w:r>
    </w:p>
    <w:p>
      <w:pPr>
        <w:pStyle w:val="Style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Источник возбудителя при ГЛПС - мышевидные грызуны, выделяющие вирус с мочой и калом. Такие грызуны могут инфицировать окружающую среду, продукты питания, предметы обихода.</w:t>
      </w:r>
    </w:p>
    <w:p>
      <w:pPr>
        <w:pStyle w:val="Style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Заражения людей наиболее часто происходят при употреблении продуктов, инфицированных выделениями грызунов или через грязные руки во время еды. Возможно также заражение при укусе грызуна во время отлова или при попадании свежих выделений зверьков на поврежденные кожные покровы. Через легкие возбудитель ГЛПС попадает в организм человека с пылью при уборке и ремонте помещений, при перевозке сена и соломы во время работы на фермах, на лесоповале. Заражения людей также возможно при посещении леса во время прогулок и туристических походов, на охоте и рыбной ловле, при сборе грибов и ягод, при заготовке дров и хвороста, сенокосах, в период работы на огородах, дачах, при проведении земляных работ с разрушением нор и гнёзд грызунов, в строениях, находящиеся вблизи леса. От человека к человеку ГЛПС не передается.</w:t>
      </w:r>
    </w:p>
    <w:p>
      <w:pPr>
        <w:pStyle w:val="Style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Для ГЛПС характерна выраженная сезонность, чаще весенне-осенняя.</w:t>
      </w:r>
    </w:p>
    <w:p>
      <w:pPr>
        <w:pStyle w:val="Style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Инкубационный период при ГЛПС составляет в среднем 2-3 недели.</w:t>
      </w:r>
    </w:p>
    <w:p>
      <w:pPr>
        <w:pStyle w:val="Style7"/>
        <w:tabs>
          <w:tab w:leader="none" w:pos="1685" w:val="left"/>
          <w:tab w:leader="none" w:pos="3110" w:val="left"/>
          <w:tab w:leader="none" w:pos="4445" w:val="left"/>
          <w:tab w:leader="none" w:pos="6283" w:val="left"/>
          <w:tab w:leader="none" w:pos="8458"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Заболевание начинается, как правило, остро, изредка болезни предшествуют слабость, озноб, бессонница. Для острого начала болезни характерно повышение температуры до 39-40 градусов, сильные головные и мышечные боли, боли в глазах, иногда ухудшение зрения, жажда, сухость во рту. На коже может появляться геморрагическая сыпь в виде одиночных или множественных мелких кровоизлияний. Возможны кровотечения, которые</w:t>
        <w:tab/>
        <w:t>могут</w:t>
        <w:tab/>
        <w:t>быть</w:t>
        <w:tab/>
        <w:t>причиной</w:t>
        <w:tab/>
        <w:t>смертельных</w:t>
        <w:tab/>
        <w:t>исходов.</w:t>
      </w:r>
    </w:p>
    <w:p>
      <w:pPr>
        <w:pStyle w:val="Style7"/>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Для ГЛПС характерен также почечный синдром: резкие боли в животе и пояснице, уменьшение количества выделяемой мочи, появление крови в моче. При тяжелых и среднетяжелых формах течения болезни могут возникать такие осложнения, как острая сердечно-сосудистая недостаточность с развитием отека легких, разрыв почки, кровоизлияния в мозг и сердечную мышцу.</w:t>
      </w:r>
    </w:p>
    <w:p>
      <w:pPr>
        <w:pStyle w:val="Style7"/>
        <w:widowControl w:val="0"/>
        <w:keepNext w:val="0"/>
        <w:keepLines w:val="0"/>
        <w:shd w:val="clear" w:color="auto" w:fill="auto"/>
        <w:bidi w:val="0"/>
        <w:spacing w:before="0" w:after="0"/>
        <w:ind w:left="0" w:right="0" w:firstLine="740"/>
      </w:pPr>
      <w:r>
        <w:pict>
          <v:shape id="_x0000_s1028" type="#_x0000_t202" style="position:absolute;margin-left:-74.65pt;margin-top:81.35pt;width:405.6pt;height:14.65pt;z-index:-125829376;mso-wrap-distance-left:5.pt;mso-wrap-distance-right:139.7pt;mso-wrap-distance-bottom:14.6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50" w:lineRule="exact"/>
                    <w:ind w:left="0" w:right="0" w:firstLine="0"/>
                  </w:pPr>
                  <w:r>
                    <w:rPr>
                      <w:lang w:val="ru-RU" w:eastAsia="ru-RU" w:bidi="ru-RU"/>
                      <w:rFonts w:ascii="Microsoft Sans Serif" w:eastAsia="Microsoft Sans Serif" w:hAnsi="Microsoft Sans Serif" w:cs="Microsoft Sans Serif"/>
                      <w:w w:val="100"/>
                      <w:spacing w:val="0"/>
                      <w:color w:val="000000"/>
                      <w:position w:val="0"/>
                    </w:rPr>
                    <w:t>окумент создан в электронной форме. № 76-00-04/41-3217-2022 от 30.08.2022. Исполнитель: Шишкина Л.А.</w:t>
                  </w:r>
                </w:p>
                <w:p>
                  <w:pPr>
                    <w:pStyle w:val="Style5"/>
                    <w:widowControl w:val="0"/>
                    <w:keepNext w:val="0"/>
                    <w:keepLines w:val="0"/>
                    <w:shd w:val="clear" w:color="auto" w:fill="auto"/>
                    <w:bidi w:val="0"/>
                    <w:jc w:val="left"/>
                    <w:spacing w:before="0" w:after="0" w:line="100" w:lineRule="exact"/>
                    <w:ind w:left="0" w:right="0" w:firstLine="0"/>
                  </w:pPr>
                  <w:r>
                    <w:rPr>
                      <w:lang w:val="ru-RU" w:eastAsia="ru-RU" w:bidi="ru-RU"/>
                      <w:w w:val="100"/>
                      <w:spacing w:val="0"/>
                      <w:color w:val="000000"/>
                      <w:position w:val="0"/>
                    </w:rPr>
                    <w:t>тпоимка 01 мо ОО Ртоаимма ллопаио' ОО ПО ОПОО 16-77</w:t>
                  </w:r>
                </w:p>
              </w:txbxContent>
            </v:textbox>
            <w10:wrap type="topAndBottom" anchorx="margin"/>
          </v:shape>
        </w:pict>
      </w:r>
      <w:r>
        <w:rPr>
          <w:lang w:val="ru-RU" w:eastAsia="ru-RU" w:bidi="ru-RU"/>
          <w:sz w:val="24"/>
          <w:szCs w:val="24"/>
          <w:w w:val="100"/>
          <w:spacing w:val="0"/>
          <w:color w:val="000000"/>
          <w:position w:val="0"/>
        </w:rPr>
        <w:t>При появлении первых признаков заболевания необходимо немедленно обратиться к врачу.</w:t>
      </w:r>
      <w:r>
        <w:br w:type="page"/>
      </w:r>
    </w:p>
    <w:p>
      <w:pPr>
        <w:pStyle w:val="Style7"/>
        <w:numPr>
          <w:ilvl w:val="0"/>
          <w:numId w:val="1"/>
        </w:numPr>
        <w:tabs>
          <w:tab w:leader="none" w:pos="580"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проводить благоустройство территорий дачных участков (освобождение от зарослей бурьяна, строительного и бытового мусора),</w:t>
      </w:r>
    </w:p>
    <w:p>
      <w:pPr>
        <w:pStyle w:val="Style7"/>
        <w:numPr>
          <w:ilvl w:val="0"/>
          <w:numId w:val="1"/>
        </w:numPr>
        <w:tabs>
          <w:tab w:leader="none" w:pos="580"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проводить дератизацию в помещениях и на территории перед заездом на дачные участки;</w:t>
      </w:r>
    </w:p>
    <w:p>
      <w:pPr>
        <w:pStyle w:val="Style7"/>
        <w:numPr>
          <w:ilvl w:val="0"/>
          <w:numId w:val="1"/>
        </w:numPr>
        <w:tabs>
          <w:tab w:leader="none" w:pos="580"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принимать меры по исключению проникновения грызунов в помещения, в том числе те. где хранятся пищевые продукты;</w:t>
      </w:r>
    </w:p>
    <w:p>
      <w:pPr>
        <w:pStyle w:val="Style13"/>
        <w:numPr>
          <w:ilvl w:val="0"/>
          <w:numId w:val="1"/>
        </w:numPr>
        <w:tabs>
          <w:tab w:leader="none" w:pos="580"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проводить уборку помещений влажным способом;</w:t>
      </w:r>
    </w:p>
    <w:p>
      <w:pPr>
        <w:pStyle w:val="Style7"/>
        <w:numPr>
          <w:ilvl w:val="0"/>
          <w:numId w:val="1"/>
        </w:numPr>
        <w:tabs>
          <w:tab w:leader="none" w:pos="580"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проводить работы при большом количестве пыли, работы с сеном, соломой, уборку в ранее пустовавшем дачном доме в защитной маске и резиновых перчатках (рукавицах);</w:t>
      </w:r>
    </w:p>
    <w:p>
      <w:pPr>
        <w:pStyle w:val="Style7"/>
        <w:numPr>
          <w:ilvl w:val="0"/>
          <w:numId w:val="1"/>
        </w:numPr>
        <w:tabs>
          <w:tab w:leader="none" w:pos="580"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соблюдать меры предосторожности на природе, при прогулках в лесу, во время туристических походов (не располагаться в стогах сена или соломы, выбирать для ночлега в походе сухие, не заросшие кустарником участки леса, хранить продукты и воду в закрытой таре);</w:t>
      </w:r>
    </w:p>
    <w:p>
      <w:pPr>
        <w:pStyle w:val="Style7"/>
        <w:numPr>
          <w:ilvl w:val="0"/>
          <w:numId w:val="1"/>
        </w:numPr>
        <w:tabs>
          <w:tab w:leader="none" w:pos="580"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не употреблять воду из открытых водоёмов;</w:t>
      </w:r>
    </w:p>
    <w:p>
      <w:pPr>
        <w:pStyle w:val="Style7"/>
        <w:numPr>
          <w:ilvl w:val="0"/>
          <w:numId w:val="1"/>
        </w:numPr>
        <w:tabs>
          <w:tab w:leader="none" w:pos="580"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обеспечить хранение продуктов в недоступных для грызунов местах, в закрытых емкостях (таре), не употреблять продукты со следами порчи грызунами;</w:t>
      </w:r>
    </w:p>
    <w:p>
      <w:pPr>
        <w:pStyle w:val="Style7"/>
        <w:numPr>
          <w:ilvl w:val="0"/>
          <w:numId w:val="1"/>
        </w:numPr>
        <w:tabs>
          <w:tab w:leader="none" w:pos="580"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не прикасаться к грызунам (живым, трупам животных) незащищенными руками, использовать резиновые перчатки (рукавицы);</w:t>
      </w:r>
    </w:p>
    <w:p>
      <w:pPr>
        <w:pStyle w:val="Style7"/>
        <w:numPr>
          <w:ilvl w:val="0"/>
          <w:numId w:val="1"/>
        </w:numPr>
        <w:tabs>
          <w:tab w:leader="none" w:pos="580" w:val="left"/>
        </w:tabs>
        <w:widowControl w:val="0"/>
        <w:keepNext w:val="0"/>
        <w:keepLines w:val="0"/>
        <w:shd w:val="clear" w:color="auto" w:fill="auto"/>
        <w:bidi w:val="0"/>
        <w:spacing w:before="0" w:after="0"/>
        <w:ind w:left="0" w:right="0" w:firstLine="0"/>
      </w:pPr>
      <w:r>
        <w:pict>
          <v:shape id="_x0000_s1029" type="#_x0000_t202" style="position:absolute;margin-left:-76.2pt;margin-top:481.7pt;width:401.75pt;height:15.85pt;z-index:-125829375;mso-wrap-distance-left:5.pt;mso-wrap-distance-right:141.6pt;mso-wrap-distance-bottom:13.6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50" w:lineRule="exact"/>
                    <w:ind w:left="0" w:right="0" w:firstLine="0"/>
                  </w:pPr>
                  <w:r>
                    <w:rPr>
                      <w:lang w:val="ru-RU" w:eastAsia="ru-RU" w:bidi="ru-RU"/>
                      <w:rFonts w:ascii="Microsoft Sans Serif" w:eastAsia="Microsoft Sans Serif" w:hAnsi="Microsoft Sans Serif" w:cs="Microsoft Sans Serif"/>
                      <w:w w:val="100"/>
                      <w:spacing w:val="0"/>
                      <w:color w:val="000000"/>
                      <w:position w:val="0"/>
                    </w:rPr>
                    <w:t>окумент создан в электронной форме. № 76-00-04/41-3217-2022 от 30.08.2022 Исполнитель: Шишкина Л .А.</w:t>
                  </w:r>
                </w:p>
                <w:p>
                  <w:pPr>
                    <w:pStyle w:val="Style5"/>
                    <w:widowControl w:val="0"/>
                    <w:keepNext w:val="0"/>
                    <w:keepLines w:val="0"/>
                    <w:shd w:val="clear" w:color="auto" w:fill="auto"/>
                    <w:bidi w:val="0"/>
                    <w:jc w:val="left"/>
                    <w:spacing w:before="0" w:after="0" w:line="100" w:lineRule="exact"/>
                    <w:ind w:left="0" w:right="0" w:firstLine="0"/>
                  </w:pPr>
                  <w:r>
                    <w:rPr>
                      <w:lang w:val="ru-RU" w:eastAsia="ru-RU" w:bidi="ru-RU"/>
                      <w:w w:val="100"/>
                      <w:spacing w:val="0"/>
                      <w:color w:val="000000"/>
                      <w:position w:val="0"/>
                    </w:rPr>
                    <w:t>тпоимно ОО мо ОО Ртпоиммо ело поно- О О ПО НПОО 1К-Т7</w:t>
                  </w:r>
                </w:p>
              </w:txbxContent>
            </v:textbox>
            <w10:wrap type="topAndBottom" anchorx="margin"/>
          </v:shape>
        </w:pict>
      </w:r>
      <w:r>
        <w:rPr>
          <w:lang w:val="ru-RU" w:eastAsia="ru-RU" w:bidi="ru-RU"/>
          <w:sz w:val="24"/>
          <w:szCs w:val="24"/>
          <w:w w:val="100"/>
          <w:spacing w:val="0"/>
          <w:color w:val="000000"/>
          <w:position w:val="0"/>
        </w:rPr>
        <w:t>чаще мыть руки.</w:t>
      </w:r>
    </w:p>
    <w:sectPr>
      <w:type w:val="continuous"/>
      <w:pgSz w:w="11900" w:h="16840"/>
      <w:pgMar w:top="1560" w:left="1589" w:right="899" w:bottom="1685"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204.35pt;margin-top:57.4pt;width:212.4pt;height:10.3pt;z-index:-188744064;mso-wrap-style:none;mso-wrap-distance-left:5.pt;mso-wrap-distance-right:5.pt;mso-position-horizontal-relative:page;mso-position-vertical-relative:page" wrapcoords="0 0" filled="f" stroked="f">
          <v:textbox style="mso-fit-shape-to-text:t" inset="0,0,0,0">
            <w:txbxContent>
              <w:p>
                <w:pPr>
                  <w:pStyle w:val="Style10"/>
                  <w:widowControl w:val="0"/>
                  <w:keepNext w:val="0"/>
                  <w:keepLines w:val="0"/>
                  <w:shd w:val="clear" w:color="auto" w:fill="auto"/>
                  <w:bidi w:val="0"/>
                  <w:jc w:val="left"/>
                  <w:spacing w:before="0" w:after="0" w:line="240" w:lineRule="auto"/>
                  <w:ind w:left="0" w:right="0" w:firstLine="0"/>
                </w:pPr>
                <w:r>
                  <w:rPr>
                    <w:rStyle w:val="CharStyle12"/>
                    <w:b/>
                    <w:bCs/>
                  </w:rPr>
                  <w:t>Основные меры профилактики ГЛПС:</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124.8pt;margin-top:56.45pt;width:378.5pt;height:11.05pt;z-index:-188744063;mso-wrap-style:none;mso-wrap-distance-left:5.pt;mso-wrap-distance-right:5.pt;mso-position-horizontal-relative:page;mso-position-vertical-relative:page" wrapcoords="0 0" filled="f" stroked="f">
          <v:textbox style="mso-fit-shape-to-text:t" inset="0,0,0,0">
            <w:txbxContent>
              <w:p>
                <w:pPr>
                  <w:pStyle w:val="Style10"/>
                  <w:widowControl w:val="0"/>
                  <w:keepNext w:val="0"/>
                  <w:keepLines w:val="0"/>
                  <w:shd w:val="clear" w:color="auto" w:fill="auto"/>
                  <w:bidi w:val="0"/>
                  <w:jc w:val="left"/>
                  <w:spacing w:before="0" w:after="0" w:line="240" w:lineRule="auto"/>
                  <w:ind w:left="0" w:right="0" w:firstLine="0"/>
                </w:pPr>
                <w:r>
                  <w:rPr>
                    <w:rStyle w:val="CharStyle12"/>
                    <w:b/>
                    <w:bCs/>
                  </w:rPr>
                  <w:t>О профилактике геморрагической лихорадки с почечным синдромом</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3) Exact"/>
    <w:basedOn w:val="DefaultParagraphFont"/>
    <w:link w:val="Style3"/>
    <w:rPr>
      <w:b w:val="0"/>
      <w:bCs w:val="0"/>
      <w:i w:val="0"/>
      <w:iCs w:val="0"/>
      <w:u w:val="none"/>
      <w:strike w:val="0"/>
      <w:smallCaps w:val="0"/>
      <w:sz w:val="15"/>
      <w:szCs w:val="15"/>
    </w:rPr>
  </w:style>
  <w:style w:type="character" w:customStyle="1" w:styleId="CharStyle6">
    <w:name w:val="Body text (4) Exact"/>
    <w:basedOn w:val="DefaultParagraphFont"/>
    <w:link w:val="Style5"/>
    <w:rPr>
      <w:b/>
      <w:bCs/>
      <w:i w:val="0"/>
      <w:iCs w:val="0"/>
      <w:u w:val="none"/>
      <w:strike w:val="0"/>
      <w:smallCaps w:val="0"/>
      <w:sz w:val="10"/>
      <w:szCs w:val="10"/>
      <w:rFonts w:ascii="Courier New" w:eastAsia="Courier New" w:hAnsi="Courier New" w:cs="Courier New"/>
    </w:rPr>
  </w:style>
  <w:style w:type="character" w:customStyle="1" w:styleId="CharStyle8">
    <w:name w:val="Body text (2)_"/>
    <w:basedOn w:val="DefaultParagraphFont"/>
    <w:link w:val="Style7"/>
    <w:rPr>
      <w:b w:val="0"/>
      <w:bCs w:val="0"/>
      <w:i w:val="0"/>
      <w:iCs w:val="0"/>
      <w:u w:val="none"/>
      <w:strike w:val="0"/>
      <w:smallCaps w:val="0"/>
      <w:rFonts w:ascii="Times New Roman" w:eastAsia="Times New Roman" w:hAnsi="Times New Roman" w:cs="Times New Roman"/>
    </w:rPr>
  </w:style>
  <w:style w:type="character" w:customStyle="1" w:styleId="CharStyle9">
    <w:name w:val="Body text (2) + Bold"/>
    <w:basedOn w:val="CharStyle8"/>
    <w:rPr>
      <w:lang w:val="ru-RU" w:eastAsia="ru-RU" w:bidi="ru-RU"/>
      <w:b/>
      <w:bCs/>
      <w:sz w:val="24"/>
      <w:szCs w:val="24"/>
      <w:w w:val="100"/>
      <w:spacing w:val="0"/>
      <w:color w:val="000000"/>
      <w:position w:val="0"/>
    </w:rPr>
  </w:style>
  <w:style w:type="character" w:customStyle="1" w:styleId="CharStyle11">
    <w:name w:val="Header or footer_"/>
    <w:basedOn w:val="DefaultParagraphFont"/>
    <w:link w:val="Style10"/>
    <w:rPr>
      <w:b/>
      <w:bCs/>
      <w:i w:val="0"/>
      <w:iCs w:val="0"/>
      <w:u w:val="none"/>
      <w:strike w:val="0"/>
      <w:smallCaps w:val="0"/>
      <w:rFonts w:ascii="Times New Roman" w:eastAsia="Times New Roman" w:hAnsi="Times New Roman" w:cs="Times New Roman"/>
    </w:rPr>
  </w:style>
  <w:style w:type="character" w:customStyle="1" w:styleId="CharStyle12">
    <w:name w:val="Header or footer"/>
    <w:basedOn w:val="CharStyle11"/>
    <w:rPr>
      <w:lang w:val="ru-RU" w:eastAsia="ru-RU" w:bidi="ru-RU"/>
      <w:sz w:val="24"/>
      <w:szCs w:val="24"/>
      <w:w w:val="100"/>
      <w:spacing w:val="0"/>
      <w:color w:val="000000"/>
      <w:position w:val="0"/>
    </w:rPr>
  </w:style>
  <w:style w:type="character" w:customStyle="1" w:styleId="CharStyle14">
    <w:name w:val="Body text (5)_"/>
    <w:basedOn w:val="DefaultParagraphFont"/>
    <w:link w:val="Style13"/>
    <w:rPr>
      <w:b w:val="0"/>
      <w:bCs w:val="0"/>
      <w:i w:val="0"/>
      <w:iCs w:val="0"/>
      <w:u w:val="none"/>
      <w:strike w:val="0"/>
      <w:smallCaps w:val="0"/>
      <w:rFonts w:ascii="Times New Roman" w:eastAsia="Times New Roman" w:hAnsi="Times New Roman" w:cs="Times New Roman"/>
    </w:rPr>
  </w:style>
  <w:style w:type="paragraph" w:customStyle="1" w:styleId="Style3">
    <w:name w:val="Body text (3)"/>
    <w:basedOn w:val="Normal"/>
    <w:link w:val="CharStyle4"/>
    <w:pPr>
      <w:widowControl w:val="0"/>
      <w:shd w:val="clear" w:color="auto" w:fill="FFFFFF"/>
      <w:spacing w:line="0" w:lineRule="exact"/>
    </w:pPr>
    <w:rPr>
      <w:b w:val="0"/>
      <w:bCs w:val="0"/>
      <w:i w:val="0"/>
      <w:iCs w:val="0"/>
      <w:u w:val="none"/>
      <w:strike w:val="0"/>
      <w:smallCaps w:val="0"/>
      <w:sz w:val="15"/>
      <w:szCs w:val="15"/>
    </w:rPr>
  </w:style>
  <w:style w:type="paragraph" w:customStyle="1" w:styleId="Style5">
    <w:name w:val="Body text (4)"/>
    <w:basedOn w:val="Normal"/>
    <w:link w:val="CharStyle6"/>
    <w:pPr>
      <w:widowControl w:val="0"/>
      <w:shd w:val="clear" w:color="auto" w:fill="FFFFFF"/>
      <w:spacing w:line="0" w:lineRule="exact"/>
    </w:pPr>
    <w:rPr>
      <w:b/>
      <w:bCs/>
      <w:i w:val="0"/>
      <w:iCs w:val="0"/>
      <w:u w:val="none"/>
      <w:strike w:val="0"/>
      <w:smallCaps w:val="0"/>
      <w:sz w:val="10"/>
      <w:szCs w:val="10"/>
      <w:rFonts w:ascii="Courier New" w:eastAsia="Courier New" w:hAnsi="Courier New" w:cs="Courier New"/>
    </w:rPr>
  </w:style>
  <w:style w:type="paragraph" w:customStyle="1" w:styleId="Style7">
    <w:name w:val="Body text (2)"/>
    <w:basedOn w:val="Normal"/>
    <w:link w:val="CharStyle8"/>
    <w:pPr>
      <w:widowControl w:val="0"/>
      <w:shd w:val="clear" w:color="auto" w:fill="FFFFFF"/>
      <w:jc w:val="both"/>
      <w:spacing w:line="274" w:lineRule="exact"/>
    </w:pPr>
    <w:rPr>
      <w:b w:val="0"/>
      <w:bCs w:val="0"/>
      <w:i w:val="0"/>
      <w:iCs w:val="0"/>
      <w:u w:val="none"/>
      <w:strike w:val="0"/>
      <w:smallCaps w:val="0"/>
      <w:rFonts w:ascii="Times New Roman" w:eastAsia="Times New Roman" w:hAnsi="Times New Roman" w:cs="Times New Roman"/>
    </w:rPr>
  </w:style>
  <w:style w:type="paragraph" w:customStyle="1" w:styleId="Style10">
    <w:name w:val="Header or footer"/>
    <w:basedOn w:val="Normal"/>
    <w:link w:val="CharStyle11"/>
    <w:pPr>
      <w:widowControl w:val="0"/>
      <w:shd w:val="clear" w:color="auto" w:fill="FFFFFF"/>
      <w:jc w:val="center"/>
      <w:spacing w:line="0" w:lineRule="exact"/>
    </w:pPr>
    <w:rPr>
      <w:b/>
      <w:bCs/>
      <w:i w:val="0"/>
      <w:iCs w:val="0"/>
      <w:u w:val="none"/>
      <w:strike w:val="0"/>
      <w:smallCaps w:val="0"/>
      <w:rFonts w:ascii="Times New Roman" w:eastAsia="Times New Roman" w:hAnsi="Times New Roman" w:cs="Times New Roman"/>
    </w:rPr>
  </w:style>
  <w:style w:type="paragraph" w:customStyle="1" w:styleId="Style13">
    <w:name w:val="Body text (5)"/>
    <w:basedOn w:val="Normal"/>
    <w:link w:val="CharStyle14"/>
    <w:pPr>
      <w:widowControl w:val="0"/>
      <w:shd w:val="clear" w:color="auto" w:fill="FFFFFF"/>
      <w:jc w:val="both"/>
      <w:spacing w:line="274" w:lineRule="exact"/>
    </w:pPr>
    <w:rPr>
      <w:b w:val="0"/>
      <w:bCs w:val="0"/>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